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Key Publications</w:t>
      </w:r>
    </w:p>
    <w:p w:rsidR="00000000" w:rsidDel="00000000" w:rsidP="00000000" w:rsidRDefault="00000000" w:rsidRPr="00000000" w14:paraId="00000002">
      <w:pPr>
        <w:ind w:left="71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Livingston, G., Huntley, J., Liu, K. Y., Costafreda, S. G., Selbæk, G.,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Alladi, 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., ... &amp; Mukadam, N. (2024). Dementia prevention, intervention, and care: 2024 report of the Lancet standing Commission.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The Lancet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,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404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(10452), 572-628.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Steinmetz, J. D., Seeher, K. M., Schiess, N., Nichols, E., Cao, B., Servili, C., ... &amp; Atalell, K. A. (2024). Global, regional, and national burden of disorders affecting the nervous system, 1990–2021: a systematic analysis for the Global Burden of Disease Study 2021.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The Lancet Neurology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(4), 344-381.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color w:val="2121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Mailankody P, Parthasarathy R,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Alladi 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 et al; Karnataka Brain Health Initiative (KaBHI) Consortium. Effectiveness of a training program in improving knowledge and skills about selected common neurological disorders among primary healthcare doctors: The Karnataka Brain Health Initiative (KaBHI) in India. J Family Med Prim Care. 2024 Sep;13(9):3719-3729.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Venugopal, A., Paplikar, A., Varghese, F. A., Thanissery, N., Ballal, D., Hoskeri, R. M., ...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Alladi, 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. (2024). Protective effect of bilingualism on aging, MCI, and dementia: A community‐based study.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Alzheimer's &amp; Dementia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,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(4), 2620-2631.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color w:val="2121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Nuytemans K, Franzen S,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Alladi S,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Babulal GM et al; ISTAART Frontotemporal Dementia and Related Disorders PIA, ISTAART Diversity and Disparities PIA. Gaps in biomedical research in frontotemporal dementia: A call for diversity and disparities focused research. Alzheimers Dement. 2024 Dec;20(12):9014-9036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color w:val="2125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Suárez-González A, Rajagopalan J, Livingston G,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Alladi 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 (2021). The effect of COVID-19 isolation measures on the cognition and mental health of people living with dementia: A rapid systematic review of one year of quantitative evidence. EClinicalMedicine. 2021 (31);39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529"/>
          <w:sz w:val="22"/>
          <w:szCs w:val="22"/>
          <w:highlight w:val="white"/>
          <w:u w:val="none"/>
          <w:vertAlign w:val="baseline"/>
          <w:rtl w:val="0"/>
        </w:rPr>
        <w:t xml:space="preserve">Alladi, S.,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529"/>
          <w:sz w:val="22"/>
          <w:szCs w:val="22"/>
          <w:highlight w:val="white"/>
          <w:u w:val="none"/>
          <w:vertAlign w:val="baseline"/>
          <w:rtl w:val="0"/>
        </w:rPr>
        <w:t xml:space="preserve"> Rajagopalan, J., Hurzuk, S., Pattabiraman, M., Narendhar, R., Thomas, P. T., ... &amp; Knapp, M. (2022). The dementia care landscape in India: Context, systems, policies and services.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12529"/>
          <w:sz w:val="22"/>
          <w:szCs w:val="22"/>
          <w:highlight w:val="white"/>
          <w:u w:val="none"/>
          <w:vertAlign w:val="baseline"/>
          <w:rtl w:val="0"/>
        </w:rPr>
        <w:t xml:space="preserve">STRiDE desk review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529"/>
          <w:sz w:val="22"/>
          <w:szCs w:val="22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Suárez-González, A., Savage, S. A.,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Alladi, 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., Amaral-Carvalho, V., Arshad, F., Camino, J., ... &amp; O’Connor, C. M. (2024). Rehabilitation Services for Young-Onset Dementia: Examples from High-and Low–Middle-Income Countries.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International Journal of Environmental Research and Public Health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(6), 790.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Jacoby, N., Polak, R., Grahn, J. A., Cameron, D. J., Lee, K. M., Godoy, R., ... &amp; McDermott, J. H. (2024). Commonality and variation in mental representations of music revealed by a cross-cultural comparison of rhythm priors in 15 countries.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Nature Human Behaviour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1-32.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Mok, V. C., Pendlebury, S., Wong, A.,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Alladi, S.,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Au, L., Bath, P. M., ... &amp; Scheltens, P. (2020). Tackling challenges in care of Alzheimer's disease and other dementias amid the COVID‐19 pandemic, now and in the future.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Alzheimer's &amp; Dementia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(11), 1571-1581.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Mekala, S., Paplikar, A., Mioshi, E., Kaul, S., Divyaraj, G., Coughlan, G., ...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Alladi, 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(2020). Dementia diagnosis in seven languages: the Addenbrooke’s Cognitive Examination-III in India.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Archives of Clinical Neuropsychology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(5), 528-538.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Iyer, G. K., Paplikar, A.,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Alladi, 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., Dutt, A., Sharma, M., Mekala, S., ... &amp; ICMR Neurocognitive Tool Box Consortium. (2020). Standardising dementia diagnosis across linguistic and educational diversity: study design of the indian council of medical research-neurocognitive tool box (ICMR-NCTB).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Journal of the International Neuropsychological Society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(2), 172-186.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Alladi, S.,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&amp; Hachinski, V. (2018). World dementia: one approach does not fit all.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Neurology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91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(6), 264-270.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3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Kalkonde, Y. V.,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Alladi, 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., Kaul, S., &amp; Hachinski, V. (2018). Stroke prevention strategies in the developing world.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Stroke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Kaul, S.,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Alladi, S.,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Jabeen, S. A., Bandaru, V. R., Ankem, U., Mekala, S., &amp; Naik, G. S. (2018). Intracranial atherosclerosis is the most common stroke subtype: ten-year data from Hyderabad stroke registry (India).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Annals of Indian Academy of Neurology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(3), 209-213.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Alladi, S.,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Bak, T. H., Duggirala, V., Surampudi, B., Shailaja, M., Shukla, A. K., ... &amp; Kaul, S. (2013). Bilingualism delays age at onset of dementia, independent of education and immigration status.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Neurology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81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(22), 1938-1944.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3" w:lineRule="auto"/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Alladi, S.,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Mekala, S., Chadalawada, S. K., Jala, S., Mridula, R., &amp; Kaul, S. (2011). Subtypes of dementia: a study from a memory clinic in India.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Dementia and geriatric cognitive disorders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,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32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(1), 32-38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3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Alladi, S.,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Xuereb, J., Bak, T., Nestor, P., Knibb, J., Patterson, K., &amp; Hodges, J. R. (2007). Focal cortical presentations of Alzheimer's disease.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Brain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(10), 2636-2645.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mplete List of Published Work: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https://pubmed.ncbi.nlm.nih.gov/?term=alladi+s&amp;sort=date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I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360" w:lineRule="auto"/>
    </w:pPr>
    <w:rPr>
      <w:rFonts w:ascii="Arial" w:cs="Arial" w:eastAsia="Arial" w:hAnsi="Arial"/>
      <w:b w:val="1"/>
      <w:color w:val="00000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A7966"/>
    <w:pPr>
      <w:autoSpaceDE w:val="0"/>
      <w:autoSpaceDN w:val="0"/>
    </w:pPr>
    <w:rPr>
      <w:rFonts w:ascii="Arial" w:cs="Times New Roman" w:eastAsia="Times New Roman" w:hAnsi="Arial"/>
      <w:sz w:val="22"/>
      <w:lang w:val="en-US"/>
    </w:rPr>
  </w:style>
  <w:style w:type="paragraph" w:styleId="Heading2">
    <w:name w:val="heading 2"/>
    <w:basedOn w:val="Subtitle"/>
    <w:next w:val="Normal"/>
    <w:link w:val="Heading2Char"/>
    <w:qFormat w:val="1"/>
    <w:rsid w:val="008A7966"/>
    <w:pPr>
      <w:keepNext w:val="1"/>
      <w:numPr>
        <w:ilvl w:val="0"/>
      </w:numPr>
      <w:spacing w:after="120" w:before="360"/>
      <w:outlineLvl w:val="1"/>
    </w:pPr>
    <w:rPr>
      <w:rFonts w:ascii="Arial" w:cs="Times New Roman" w:eastAsia="Times New Roman" w:hAnsi="Arial"/>
      <w:b w:val="1"/>
      <w:color w:val="auto"/>
      <w:spacing w:val="0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rsid w:val="008A7966"/>
    <w:rPr>
      <w:rFonts w:ascii="Arial" w:cs="Times New Roman" w:eastAsia="Times New Roman" w:hAnsi="Arial"/>
      <w:b w:val="1"/>
      <w:sz w:val="22"/>
      <w:lang w:val="en-US"/>
    </w:rPr>
  </w:style>
  <w:style w:type="character" w:styleId="Hyperlink">
    <w:name w:val="Hyperlink"/>
    <w:basedOn w:val="DefaultParagraphFont"/>
    <w:rsid w:val="008A7966"/>
    <w:rPr>
      <w:color w:val="0000ff"/>
      <w:u w:val="single"/>
    </w:rPr>
  </w:style>
  <w:style w:type="character" w:styleId="Strong">
    <w:name w:val="Strong"/>
    <w:basedOn w:val="DefaultParagraphFont"/>
    <w:uiPriority w:val="22"/>
    <w:qFormat w:val="1"/>
    <w:rsid w:val="008A7966"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8A7966"/>
    <w:pPr>
      <w:autoSpaceDE w:val="1"/>
      <w:autoSpaceDN w:val="1"/>
      <w:ind w:left="720"/>
      <w:contextualSpacing w:val="1"/>
    </w:pPr>
    <w:rPr>
      <w:rFonts w:ascii="Times New Roman" w:hAnsi="Times New Roman"/>
      <w:sz w:val="24"/>
      <w:lang w:eastAsia="en-GB" w:val="en-IN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8A7966"/>
    <w:pPr>
      <w:numPr>
        <w:ilvl w:val="1"/>
      </w:numPr>
      <w:spacing w:after="160"/>
    </w:pPr>
    <w:rPr>
      <w:rFonts w:asciiTheme="minorHAnsi" w:cstheme="minorBidi" w:eastAsiaTheme="minorEastAsia" w:hAnsiTheme="minorHAnsi"/>
      <w:color w:val="5a5a5a" w:themeColor="text1" w:themeTint="0000A5"/>
      <w:spacing w:val="15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sid w:val="008A7966"/>
    <w:rPr>
      <w:rFonts w:eastAsiaTheme="minorEastAsia"/>
      <w:color w:val="5a5a5a" w:themeColor="text1" w:themeTint="0000A5"/>
      <w:spacing w:val="15"/>
      <w:sz w:val="22"/>
      <w:szCs w:val="22"/>
      <w:lang w:val="en-US"/>
    </w:rPr>
  </w:style>
  <w:style w:type="paragraph" w:styleId="Subtitle">
    <w:name w:val="Subtitle"/>
    <w:basedOn w:val="Normal"/>
    <w:next w:val="Normal"/>
    <w:pPr>
      <w:spacing w:after="160" w:lineRule="auto"/>
    </w:pPr>
    <w:rPr>
      <w:rFonts w:ascii="Calibri" w:cs="Calibri" w:eastAsia="Calibri" w:hAnsi="Calibri"/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ubmed.ncbi.nlm.nih.gov/?term=alladi+s&amp;sort=d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hquS1OwiyUL3MAI5WtPjE5OgPg==">CgMxLjA4AHIhMU9PYlB5Ykcya3VNMmNNQTN2S2F1T1FGQ0ZDRnZYVlNt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2025-02-10T05:52:00Z</dcterms:created>
  <dc:creator>Suvarna Alladi</dc:creator>
</cp:coreProperties>
</file>